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BB" w:rsidRDefault="00C22FBB">
      <w:pPr>
        <w:pStyle w:val="af7"/>
        <w:contextualSpacing/>
        <w:jc w:val="center"/>
        <w:rPr>
          <w:sz w:val="24"/>
        </w:rPr>
      </w:pPr>
    </w:p>
    <w:p w:rsidR="00C22FBB" w:rsidRDefault="00B2271D">
      <w:pPr>
        <w:pStyle w:val="af7"/>
        <w:contextualSpacing/>
        <w:jc w:val="center"/>
        <w:rPr>
          <w:sz w:val="24"/>
        </w:rPr>
      </w:pPr>
      <w:r>
        <w:rPr>
          <w:sz w:val="24"/>
        </w:rPr>
        <w:t>РОССТАТ</w:t>
      </w:r>
    </w:p>
    <w:p w:rsidR="00C22FBB" w:rsidRDefault="00B2271D">
      <w:pPr>
        <w:pStyle w:val="af7"/>
        <w:contextualSpacing/>
        <w:jc w:val="center"/>
        <w:rPr>
          <w:b w:val="0"/>
          <w:sz w:val="24"/>
        </w:rPr>
      </w:pPr>
      <w:r>
        <w:rPr>
          <w:sz w:val="24"/>
        </w:rPr>
        <w:t xml:space="preserve">УПРАВЛЕНИЕ ФЕДЕРАЛЬНОЙ СЛУЖБЫ ГОСУДАРСТВЕННОЙ СТАТИСТИКИ </w:t>
      </w:r>
      <w:r>
        <w:rPr>
          <w:sz w:val="24"/>
        </w:rPr>
        <w:br/>
        <w:t>ПО КРАСНОЯРСКОМУ КРАЮ, РЕСПУБЛИКЕ ХАКАСИЯ И РЕСПУБЛИКЕ ТЫВА</w:t>
      </w:r>
    </w:p>
    <w:p w:rsidR="00C22FBB" w:rsidRDefault="00B2271D">
      <w:pPr>
        <w:pStyle w:val="30"/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(КРАСНОЯРСКСТАТ)</w:t>
      </w:r>
    </w:p>
    <w:p w:rsidR="00C22FBB" w:rsidRDefault="00C22FBB">
      <w:pPr>
        <w:contextualSpacing/>
        <w:jc w:val="both"/>
      </w:pPr>
    </w:p>
    <w:p w:rsidR="00C22FBB" w:rsidRDefault="00B2271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ИНФОРМАЦИОННОЕ ПИСЬМО</w:t>
      </w:r>
    </w:p>
    <w:p w:rsidR="00C22FBB" w:rsidRDefault="00C22FBB">
      <w:pPr>
        <w:contextualSpacing/>
        <w:jc w:val="center"/>
        <w:rPr>
          <w:b/>
          <w:color w:val="000000"/>
          <w:sz w:val="12"/>
          <w:szCs w:val="12"/>
        </w:rPr>
      </w:pPr>
    </w:p>
    <w:p w:rsidR="00C22FBB" w:rsidRDefault="00C22FBB">
      <w:pPr>
        <w:contextualSpacing/>
        <w:jc w:val="both"/>
      </w:pPr>
    </w:p>
    <w:p w:rsidR="00C22FBB" w:rsidRDefault="00B2271D">
      <w:pPr>
        <w:pStyle w:val="af7"/>
        <w:tabs>
          <w:tab w:val="left" w:pos="993"/>
        </w:tabs>
        <w:rPr>
          <w:b w:val="0"/>
          <w:szCs w:val="28"/>
        </w:rPr>
      </w:pPr>
      <w:r>
        <w:rPr>
          <w:szCs w:val="28"/>
        </w:rPr>
        <w:t>06.03.2023                                                                                № АР-Т26-10/2530-ДР</w:t>
      </w:r>
    </w:p>
    <w:p w:rsidR="00C22FBB" w:rsidRDefault="00C22FBB">
      <w:pPr>
        <w:ind w:firstLine="709"/>
        <w:contextualSpacing/>
        <w:jc w:val="center"/>
        <w:rPr>
          <w:b/>
          <w:sz w:val="12"/>
          <w:szCs w:val="12"/>
        </w:rPr>
      </w:pPr>
    </w:p>
    <w:p w:rsidR="00C22FBB" w:rsidRDefault="00B2271D">
      <w:pPr>
        <w:pStyle w:val="Heading1"/>
        <w:spacing w:before="0" w:after="0"/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 </w:t>
      </w:r>
      <w:r>
        <w:rPr>
          <w:sz w:val="24"/>
          <w:szCs w:val="24"/>
        </w:rPr>
        <w:t>предоставлении сведений по форме № 1-здрав</w:t>
      </w:r>
    </w:p>
    <w:p w:rsidR="00C22FBB" w:rsidRDefault="00B2271D">
      <w:pPr>
        <w:pStyle w:val="Heading1"/>
        <w:spacing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организациями, имеющими действующую лицензию </w:t>
      </w:r>
      <w:r>
        <w:rPr>
          <w:sz w:val="24"/>
          <w:szCs w:val="24"/>
        </w:rPr>
        <w:br/>
        <w:t xml:space="preserve">на осуществление медицинской деятельности </w:t>
      </w:r>
    </w:p>
    <w:p w:rsidR="00C22FBB" w:rsidRDefault="00C22FBB">
      <w:pPr>
        <w:ind w:firstLine="709"/>
        <w:jc w:val="center"/>
        <w:rPr>
          <w:sz w:val="28"/>
          <w:szCs w:val="28"/>
        </w:rPr>
      </w:pPr>
    </w:p>
    <w:p w:rsidR="00C22FBB" w:rsidRDefault="00B2271D">
      <w:pPr>
        <w:spacing w:after="60"/>
        <w:ind w:firstLine="567"/>
        <w:jc w:val="both"/>
      </w:pPr>
      <w:r>
        <w:t xml:space="preserve">Управление Федеральной службы государственной статистики по Красноярскому краю, Республике Хакасия и Республике Тыва сообщает, что при заполнении формы № 1-здрав «Сведение об организации, оказывающей услуги по медицинской деятельности», утвержденной приказом Росстата от 22.02.2023 № 76, следует руководствоваться указаниями, размещенными </w:t>
      </w:r>
      <w:r>
        <w:br/>
        <w:t xml:space="preserve">на бланке. </w:t>
      </w:r>
    </w:p>
    <w:p w:rsidR="00C22FBB" w:rsidRDefault="00B2271D">
      <w:pPr>
        <w:ind w:firstLine="709"/>
      </w:pPr>
      <w:r>
        <w:t>При заполнении отчета по форме № 1-здрав за 2022 год обращаем внимание на следующее:</w:t>
      </w:r>
    </w:p>
    <w:p w:rsidR="00C22FBB" w:rsidRDefault="00B2271D">
      <w:pPr>
        <w:ind w:firstLine="709"/>
      </w:pPr>
      <w:r>
        <w:rPr>
          <w:b/>
          <w:i/>
        </w:rPr>
        <w:t xml:space="preserve">Отчет необходимо предоставить,  используя </w:t>
      </w:r>
      <w:r>
        <w:rPr>
          <w:b/>
          <w:i/>
          <w:lang w:val="en-US"/>
        </w:rPr>
        <w:t>xml</w:t>
      </w:r>
      <w:r>
        <w:rPr>
          <w:b/>
          <w:i/>
        </w:rPr>
        <w:t>-шаблон от 22-02-2023.</w:t>
      </w:r>
    </w:p>
    <w:p w:rsidR="00C22FBB" w:rsidRDefault="00C22FBB">
      <w:pPr>
        <w:rPr>
          <w:sz w:val="12"/>
          <w:szCs w:val="12"/>
        </w:rPr>
      </w:pPr>
    </w:p>
    <w:p w:rsidR="00C22FBB" w:rsidRDefault="00B2271D">
      <w:pPr>
        <w:ind w:firstLine="709"/>
        <w:jc w:val="center"/>
        <w:rPr>
          <w:i/>
          <w:u w:val="single"/>
        </w:rPr>
      </w:pPr>
      <w:r>
        <w:rPr>
          <w:i/>
          <w:u w:val="single"/>
        </w:rPr>
        <w:t>Раздел 1. Юридические лица, оказывающие услуги по медицинской помощи</w:t>
      </w:r>
    </w:p>
    <w:p w:rsidR="00C22FBB" w:rsidRDefault="00C22FBB">
      <w:pPr>
        <w:ind w:firstLine="709"/>
        <w:jc w:val="center"/>
        <w:rPr>
          <w:i/>
          <w:sz w:val="12"/>
          <w:szCs w:val="12"/>
          <w:u w:val="single"/>
        </w:rPr>
      </w:pPr>
    </w:p>
    <w:p w:rsidR="00C22FBB" w:rsidRDefault="00B2271D">
      <w:pPr>
        <w:ind w:firstLine="709"/>
        <w:jc w:val="both"/>
      </w:pPr>
      <w:r>
        <w:t>Необходимо выбрать один из десяти типов организаций и в соответствующей графе поставить «1». Организация не может иметь одновременно несколько типов.</w:t>
      </w:r>
    </w:p>
    <w:p w:rsidR="00C22FBB" w:rsidRDefault="00B2271D">
      <w:pPr>
        <w:ind w:firstLine="709"/>
        <w:jc w:val="both"/>
      </w:pPr>
      <w:r>
        <w:t xml:space="preserve">Графы 3, 4, 5 (форма собственности) заполняются </w:t>
      </w:r>
      <w:r>
        <w:rPr>
          <w:rFonts w:cs="Calibri"/>
        </w:rPr>
        <w:t xml:space="preserve">на основании Уведомления </w:t>
      </w:r>
      <w:r>
        <w:rPr>
          <w:rFonts w:cs="Calibri"/>
        </w:rPr>
        <w:br/>
        <w:t xml:space="preserve">о присвоении кодов территориальными органами Росстата и в соответствии с Общероссийским </w:t>
      </w:r>
      <w:r>
        <w:rPr>
          <w:rFonts w:cs="Calibri"/>
        </w:rPr>
        <w:br/>
      </w:r>
      <w:hyperlink r:id="rId8" w:tooltip="consultantplus://offline/ref=E1F9EACD2AA056F047B639CC352B8BF511DDB9FD54D52DCCCF82A340CF573AB75D043252EAF5E1C558E5AB951A0614E1B205D7B5AFCF545AK8BDE" w:history="1">
        <w:r>
          <w:rPr>
            <w:rFonts w:cs="Calibri"/>
          </w:rPr>
          <w:t>классификатором</w:t>
        </w:r>
      </w:hyperlink>
      <w:r>
        <w:rPr>
          <w:rFonts w:cs="Calibri"/>
        </w:rPr>
        <w:t xml:space="preserve"> форм собственности (ОКФС)</w:t>
      </w:r>
      <w:r>
        <w:t xml:space="preserve">, которое можно получить на сайте Росстата </w:t>
      </w:r>
      <w:r>
        <w:rPr>
          <w:i/>
        </w:rPr>
        <w:t>https://websbor.gks.ru/online/info.</w:t>
      </w:r>
      <w:r>
        <w:t xml:space="preserve"> </w:t>
      </w:r>
    </w:p>
    <w:p w:rsidR="00C22FBB" w:rsidRDefault="00B2271D">
      <w:pPr>
        <w:ind w:firstLine="709"/>
        <w:jc w:val="both"/>
      </w:pPr>
      <w:r>
        <w:rPr>
          <w:b/>
          <w:bCs/>
        </w:rPr>
        <w:t>«Справочно: (стр. 101)</w:t>
      </w:r>
      <w:r>
        <w:t xml:space="preserve"> вид поселения» </w:t>
      </w:r>
      <w:r>
        <w:rPr>
          <w:b/>
          <w:bCs/>
        </w:rPr>
        <w:t xml:space="preserve">обязательна для заполнения </w:t>
      </w:r>
      <w:r>
        <w:rPr>
          <w:bCs/>
        </w:rPr>
        <w:t>во всех случаях</w:t>
      </w:r>
      <w:r>
        <w:t>, кроме пустых отчетов.</w:t>
      </w:r>
    </w:p>
    <w:p w:rsidR="00C22FBB" w:rsidRDefault="00C22FBB">
      <w:pPr>
        <w:ind w:firstLine="709"/>
        <w:jc w:val="center"/>
        <w:rPr>
          <w:i/>
          <w:sz w:val="12"/>
          <w:szCs w:val="12"/>
          <w:u w:val="single"/>
        </w:rPr>
      </w:pPr>
    </w:p>
    <w:p w:rsidR="00C22FBB" w:rsidRDefault="00B2271D">
      <w:pPr>
        <w:ind w:firstLine="709"/>
        <w:jc w:val="center"/>
        <w:rPr>
          <w:i/>
          <w:u w:val="single"/>
        </w:rPr>
      </w:pPr>
      <w:r>
        <w:rPr>
          <w:i/>
          <w:u w:val="single"/>
        </w:rPr>
        <w:t>Раздел 2. Структурные подразделения (отделения, кабинеты)</w:t>
      </w:r>
    </w:p>
    <w:p w:rsidR="00C22FBB" w:rsidRDefault="00C22FBB">
      <w:pPr>
        <w:ind w:firstLine="709"/>
        <w:jc w:val="center"/>
        <w:rPr>
          <w:i/>
          <w:sz w:val="12"/>
          <w:szCs w:val="12"/>
          <w:u w:val="single"/>
        </w:rPr>
      </w:pPr>
    </w:p>
    <w:p w:rsidR="00C22FBB" w:rsidRDefault="00B2271D">
      <w:pPr>
        <w:ind w:firstLine="709"/>
        <w:jc w:val="both"/>
        <w:rPr>
          <w:rFonts w:cs="Calibri"/>
        </w:rPr>
      </w:pPr>
      <w:r>
        <w:rPr>
          <w:rFonts w:cs="Calibri"/>
        </w:rPr>
        <w:t>По графе 3 отражаются либо отделения, либо кабинеты.</w:t>
      </w:r>
    </w:p>
    <w:p w:rsidR="00C22FBB" w:rsidRDefault="00B2271D">
      <w:pPr>
        <w:ind w:firstLine="709"/>
        <w:jc w:val="both"/>
        <w:rPr>
          <w:rFonts w:cs="Calibri"/>
        </w:rPr>
      </w:pPr>
      <w:r>
        <w:rPr>
          <w:rFonts w:cs="Calibri"/>
          <w:b/>
          <w:bCs/>
        </w:rPr>
        <w:t>Обращаем внимание!</w:t>
      </w:r>
      <w:r>
        <w:rPr>
          <w:rFonts w:cs="Calibri"/>
        </w:rPr>
        <w:t xml:space="preserve"> Организации, осуществляющие профильную медицинскую деятельность и имеющие аналогичные структурные подразделения, сведения по ним в данном разделе не заполняют. Например: если в Разделе 1 указан тип организации </w:t>
      </w:r>
      <w:r>
        <w:rPr>
          <w:rFonts w:cs="Calibri"/>
        </w:rPr>
        <w:br/>
        <w:t xml:space="preserve">по </w:t>
      </w:r>
      <w:r>
        <w:rPr>
          <w:rFonts w:cs="Calibri"/>
          <w:b/>
          <w:bCs/>
        </w:rPr>
        <w:t>стр.</w:t>
      </w:r>
      <w:r>
        <w:rPr>
          <w:rFonts w:cs="Calibri"/>
        </w:rPr>
        <w:t xml:space="preserve"> 05 «Амбулаторно-поликлиническая для детей», то в Разделе 2 стр. 03 «Детское отделение (кабинет)» заполнять не нужно.</w:t>
      </w:r>
    </w:p>
    <w:p w:rsidR="00C22FBB" w:rsidRDefault="00C22FBB">
      <w:pPr>
        <w:ind w:firstLine="709"/>
        <w:jc w:val="center"/>
        <w:rPr>
          <w:i/>
          <w:sz w:val="12"/>
          <w:szCs w:val="12"/>
          <w:u w:val="single"/>
        </w:rPr>
      </w:pPr>
    </w:p>
    <w:p w:rsidR="00C22FBB" w:rsidRDefault="00B2271D">
      <w:pPr>
        <w:ind w:firstLine="709"/>
        <w:jc w:val="center"/>
        <w:rPr>
          <w:i/>
          <w:u w:val="single"/>
        </w:rPr>
      </w:pPr>
      <w:r>
        <w:rPr>
          <w:i/>
          <w:u w:val="single"/>
        </w:rPr>
        <w:t xml:space="preserve">Раздел 3. Деятельность амбулаторно-поликлинических </w:t>
      </w:r>
      <w:r>
        <w:rPr>
          <w:i/>
          <w:u w:val="single"/>
        </w:rPr>
        <w:br/>
        <w:t>(стационарно-поликлинических) организаций</w:t>
      </w:r>
    </w:p>
    <w:p w:rsidR="00C22FBB" w:rsidRDefault="00C22FBB">
      <w:pPr>
        <w:ind w:firstLine="709"/>
        <w:jc w:val="center"/>
        <w:rPr>
          <w:i/>
          <w:sz w:val="12"/>
          <w:szCs w:val="12"/>
          <w:u w:val="single"/>
        </w:rPr>
      </w:pPr>
    </w:p>
    <w:p w:rsidR="00C22FBB" w:rsidRDefault="00B2271D">
      <w:pPr>
        <w:ind w:firstLine="709"/>
        <w:jc w:val="both"/>
        <w:rPr>
          <w:rFonts w:cs="Calibri"/>
        </w:rPr>
      </w:pPr>
      <w:r>
        <w:rPr>
          <w:rFonts w:cs="Calibri"/>
          <w:iCs/>
        </w:rPr>
        <w:t xml:space="preserve">Мощность - плановый показатель, </w:t>
      </w:r>
      <w:r>
        <w:rPr>
          <w:rFonts w:cs="Calibri"/>
          <w:b/>
          <w:bCs/>
          <w:iCs/>
        </w:rPr>
        <w:t>не зависит</w:t>
      </w:r>
      <w:r>
        <w:rPr>
          <w:rFonts w:cs="Calibri"/>
          <w:iCs/>
        </w:rPr>
        <w:t xml:space="preserve"> от числа фактических посещений. </w:t>
      </w:r>
      <w:r>
        <w:rPr>
          <w:rFonts w:cs="Calibri"/>
          <w:iCs/>
        </w:rPr>
        <w:br/>
        <w:t xml:space="preserve">Она может измениться только в том случае, если изменилась «рабочая» площадь помещения, </w:t>
      </w:r>
      <w:r>
        <w:rPr>
          <w:rFonts w:cs="Calibri"/>
          <w:iCs/>
        </w:rPr>
        <w:br/>
        <w:t>в котором ведется амбулаторный прием пациентов.</w:t>
      </w:r>
    </w:p>
    <w:p w:rsidR="00C22FBB" w:rsidRDefault="00C22FBB">
      <w:pPr>
        <w:ind w:firstLine="709"/>
        <w:jc w:val="center"/>
        <w:rPr>
          <w:i/>
          <w:sz w:val="12"/>
          <w:szCs w:val="12"/>
          <w:u w:val="single"/>
        </w:rPr>
      </w:pPr>
    </w:p>
    <w:p w:rsidR="00C22FBB" w:rsidRDefault="00B2271D">
      <w:pPr>
        <w:ind w:firstLine="709"/>
        <w:jc w:val="center"/>
        <w:rPr>
          <w:i/>
          <w:u w:val="single"/>
        </w:rPr>
      </w:pPr>
      <w:r>
        <w:rPr>
          <w:i/>
          <w:u w:val="single"/>
        </w:rPr>
        <w:t>Раздел 4. Деятельность коечного фонда</w:t>
      </w:r>
    </w:p>
    <w:p w:rsidR="00C22FBB" w:rsidRDefault="00C22FBB">
      <w:pPr>
        <w:ind w:firstLine="709"/>
        <w:jc w:val="center"/>
        <w:rPr>
          <w:i/>
          <w:sz w:val="12"/>
          <w:szCs w:val="12"/>
          <w:u w:val="single"/>
        </w:rPr>
      </w:pPr>
    </w:p>
    <w:p w:rsidR="00C22FBB" w:rsidRDefault="00B2271D">
      <w:pPr>
        <w:ind w:firstLine="709"/>
        <w:jc w:val="both"/>
      </w:pPr>
      <w:r>
        <w:t xml:space="preserve">Организации, имеющие дневной стационар, по </w:t>
      </w:r>
      <w:r>
        <w:rPr>
          <w:b/>
          <w:bCs/>
        </w:rPr>
        <w:t>стр.</w:t>
      </w:r>
      <w:r>
        <w:t xml:space="preserve"> 21 </w:t>
      </w:r>
      <w:r>
        <w:rPr>
          <w:i/>
          <w:iCs/>
        </w:rPr>
        <w:t xml:space="preserve">показывают койки, </w:t>
      </w:r>
      <w:r>
        <w:rPr>
          <w:i/>
          <w:iCs/>
        </w:rPr>
        <w:br/>
        <w:t>а не койко-места.</w:t>
      </w:r>
    </w:p>
    <w:p w:rsidR="00C22FBB" w:rsidRDefault="00C22FBB">
      <w:pPr>
        <w:ind w:firstLine="709"/>
        <w:jc w:val="center"/>
        <w:rPr>
          <w:i/>
          <w:sz w:val="12"/>
          <w:szCs w:val="12"/>
          <w:u w:val="single"/>
        </w:rPr>
      </w:pPr>
    </w:p>
    <w:p w:rsidR="00C22FBB" w:rsidRDefault="00C22FBB">
      <w:pPr>
        <w:ind w:firstLine="709"/>
        <w:jc w:val="center"/>
        <w:rPr>
          <w:i/>
          <w:sz w:val="12"/>
          <w:szCs w:val="12"/>
          <w:u w:val="single"/>
        </w:rPr>
      </w:pPr>
    </w:p>
    <w:p w:rsidR="00C22FBB" w:rsidRDefault="00C22FBB">
      <w:pPr>
        <w:ind w:firstLine="709"/>
        <w:jc w:val="center"/>
        <w:rPr>
          <w:i/>
          <w:sz w:val="12"/>
          <w:szCs w:val="12"/>
          <w:u w:val="single"/>
        </w:rPr>
      </w:pPr>
    </w:p>
    <w:p w:rsidR="00C22FBB" w:rsidRDefault="00C22FBB">
      <w:pPr>
        <w:ind w:firstLine="709"/>
        <w:jc w:val="center"/>
        <w:rPr>
          <w:i/>
          <w:sz w:val="12"/>
          <w:szCs w:val="12"/>
          <w:u w:val="single"/>
        </w:rPr>
      </w:pPr>
    </w:p>
    <w:p w:rsidR="00C22FBB" w:rsidRDefault="00B2271D">
      <w:pPr>
        <w:ind w:firstLine="709"/>
        <w:jc w:val="center"/>
        <w:rPr>
          <w:i/>
          <w:u w:val="single"/>
        </w:rPr>
      </w:pPr>
      <w:r>
        <w:rPr>
          <w:i/>
          <w:u w:val="single"/>
        </w:rPr>
        <w:t>Раздел 5. Медицинские работники</w:t>
      </w:r>
    </w:p>
    <w:p w:rsidR="00C22FBB" w:rsidRDefault="00C22FBB">
      <w:pPr>
        <w:ind w:firstLine="709"/>
        <w:jc w:val="center"/>
        <w:rPr>
          <w:i/>
          <w:sz w:val="12"/>
          <w:szCs w:val="12"/>
          <w:u w:val="single"/>
        </w:rPr>
      </w:pPr>
    </w:p>
    <w:p w:rsidR="00C22FBB" w:rsidRDefault="00C22FBB">
      <w:pPr>
        <w:ind w:firstLine="709"/>
        <w:jc w:val="center"/>
        <w:rPr>
          <w:i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C22FBB">
        <w:tc>
          <w:tcPr>
            <w:tcW w:w="9889" w:type="dxa"/>
            <w:gridSpan w:val="2"/>
          </w:tcPr>
          <w:p w:rsidR="00C22FBB" w:rsidRDefault="00B2271D">
            <w:pPr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В численность медицинских работников не включаются госслужащие, преподаватели высших и средних образовательных медицинских организаций, совместители. </w:t>
            </w:r>
          </w:p>
          <w:p w:rsidR="00C22FBB" w:rsidRDefault="00B2271D">
            <w:pPr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А так же </w:t>
            </w:r>
            <w:r>
              <w:rPr>
                <w:rFonts w:cs="Calibri"/>
                <w:b/>
                <w:iCs/>
              </w:rPr>
              <w:t>не относятся</w:t>
            </w:r>
          </w:p>
        </w:tc>
      </w:tr>
      <w:tr w:rsidR="00C22FBB">
        <w:tc>
          <w:tcPr>
            <w:tcW w:w="4644" w:type="dxa"/>
          </w:tcPr>
          <w:p w:rsidR="00C22FBB" w:rsidRDefault="00B2271D">
            <w:pPr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к врачам:</w:t>
            </w:r>
          </w:p>
        </w:tc>
        <w:tc>
          <w:tcPr>
            <w:tcW w:w="5245" w:type="dxa"/>
          </w:tcPr>
          <w:p w:rsidR="00C22FBB" w:rsidRDefault="00B2271D">
            <w:pPr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к среднему медицинскому персоналу:</w:t>
            </w:r>
          </w:p>
        </w:tc>
      </w:tr>
      <w:tr w:rsidR="00C22FBB">
        <w:tc>
          <w:tcPr>
            <w:tcW w:w="4644" w:type="dxa"/>
          </w:tcPr>
          <w:p w:rsidR="00C22FBB" w:rsidRDefault="00B2271D">
            <w:pPr>
              <w:ind w:left="24"/>
              <w:rPr>
                <w:rFonts w:cs="Calibri"/>
                <w:iCs/>
              </w:rPr>
            </w:pPr>
            <w:r>
              <w:rPr>
                <w:rFonts w:cs="Calibri"/>
                <w:i/>
                <w:iCs/>
                <w:u w:val="single"/>
              </w:rPr>
              <w:t>Специалисты с высшим немедицинским образованием</w:t>
            </w:r>
            <w:r>
              <w:rPr>
                <w:rFonts w:cs="Calibri"/>
                <w:iCs/>
              </w:rPr>
              <w:t>: биологи, инструкторы-методисты по лечебной физкультуре, логопеды, медицинские физики, психологи, судебные эксперты, химики-эксперты, зоологи, эксперты-физики, эмбриологи, энтомологи.</w:t>
            </w:r>
          </w:p>
        </w:tc>
        <w:tc>
          <w:tcPr>
            <w:tcW w:w="5245" w:type="dxa"/>
          </w:tcPr>
          <w:p w:rsidR="00C22FBB" w:rsidRDefault="00B2271D">
            <w:pPr>
              <w:rPr>
                <w:rFonts w:cs="Calibri"/>
                <w:iCs/>
              </w:rPr>
            </w:pPr>
            <w:r>
              <w:rPr>
                <w:rFonts w:cs="Calibri"/>
                <w:i/>
                <w:iCs/>
                <w:u w:val="single"/>
              </w:rPr>
              <w:t>Физические лица без медицинского образования, занимающие должности среднего медицинского персонала</w:t>
            </w:r>
            <w:r>
              <w:rPr>
                <w:rFonts w:cs="Calibri"/>
                <w:i/>
                <w:iCs/>
              </w:rPr>
              <w:t xml:space="preserve">: </w:t>
            </w:r>
            <w:r>
              <w:rPr>
                <w:rFonts w:cs="Calibri"/>
                <w:iCs/>
              </w:rPr>
              <w:t xml:space="preserve"> медицинских регистраторов, медицинских дезинфекторов, инструкторов по лечебной физкультуре, инструкторов по трудовой терапии, специалисты с неоконченным высшим образованием или врачи, студенты;</w:t>
            </w:r>
          </w:p>
          <w:p w:rsidR="00C22FBB" w:rsidRDefault="00B2271D">
            <w:pPr>
              <w:rPr>
                <w:rFonts w:cs="Calibri"/>
                <w:i/>
                <w:iCs/>
                <w:u w:val="single"/>
              </w:rPr>
            </w:pPr>
            <w:r>
              <w:rPr>
                <w:rFonts w:cs="Calibri"/>
                <w:i/>
                <w:iCs/>
                <w:u w:val="single"/>
              </w:rPr>
              <w:t xml:space="preserve">Младший медицинский персонал: </w:t>
            </w:r>
            <w:r>
              <w:rPr>
                <w:rFonts w:cs="Calibri"/>
                <w:iCs/>
              </w:rPr>
              <w:t>санитар, санитар-водитель, сестра-хозяйка и младшая медицинская сестра по уходу за больными (санитарка).</w:t>
            </w:r>
          </w:p>
        </w:tc>
      </w:tr>
    </w:tbl>
    <w:p w:rsidR="00C22FBB" w:rsidRDefault="00C22FBB">
      <w:pPr>
        <w:ind w:firstLine="709"/>
        <w:jc w:val="both"/>
      </w:pPr>
    </w:p>
    <w:p w:rsidR="00C22FBB" w:rsidRDefault="00B2271D">
      <w:pPr>
        <w:ind w:firstLine="709"/>
        <w:jc w:val="both"/>
        <w:rPr>
          <w:rFonts w:cs="Calibri"/>
          <w:iCs/>
        </w:rPr>
      </w:pPr>
      <w:r>
        <w:t xml:space="preserve">По </w:t>
      </w:r>
      <w:r>
        <w:rPr>
          <w:b/>
          <w:bCs/>
        </w:rPr>
        <w:t>стр. 42</w:t>
      </w:r>
      <w:r>
        <w:t xml:space="preserve"> учитываются врачи прочих специальностей: патологоанатомы, судебно-медицинские и медико-социальные эксперты, скорой медицинской помощи, сексологи, косметологи</w:t>
      </w:r>
      <w:r>
        <w:rPr>
          <w:rFonts w:cs="Calibri"/>
          <w:iCs/>
        </w:rPr>
        <w:t>, а также врачи здравпунктов, клинические и лабораторные микологи,</w:t>
      </w:r>
      <w:r>
        <w:t xml:space="preserve"> </w:t>
      </w:r>
      <w:r>
        <w:rPr>
          <w:rFonts w:cs="Calibri"/>
          <w:iCs/>
        </w:rPr>
        <w:t xml:space="preserve">  медицинские микробиологи, методисты, ортодонты, остеопаты, офтальмологи-протезисты, по авиационной и космической медицине, по водолазной медицине, по медицинской профилактике, по медицинской реабилитации,</w:t>
      </w:r>
      <w:r>
        <w:t xml:space="preserve"> </w:t>
      </w:r>
      <w:r>
        <w:rPr>
          <w:rFonts w:cs="Calibri"/>
          <w:iCs/>
        </w:rPr>
        <w:t xml:space="preserve">по паллиативной медицинской помощи, </w:t>
      </w:r>
      <w:r>
        <w:rPr>
          <w:rFonts w:cs="Calibri"/>
          <w:iCs/>
        </w:rPr>
        <w:br/>
        <w:t>по рентгенэндоваскулярным диагностике и лечению, приемного отделения, радиотерапевты, стажеры, статистики, судебно-психиатрические эксперты, судовые врачи, сурдологи-протезисты, физической и реабилитационной медицины, хирурги пластические.</w:t>
      </w:r>
    </w:p>
    <w:p w:rsidR="00C22FBB" w:rsidRDefault="00B2271D">
      <w:pPr>
        <w:ind w:firstLine="709"/>
        <w:jc w:val="both"/>
        <w:rPr>
          <w:rFonts w:cs="Calibri"/>
          <w:iCs/>
        </w:rPr>
      </w:pPr>
      <w:r>
        <w:rPr>
          <w:rFonts w:cs="Calibri"/>
          <w:iCs/>
        </w:rPr>
        <w:t xml:space="preserve">При заполнении </w:t>
      </w:r>
      <w:r>
        <w:rPr>
          <w:rFonts w:cs="Calibri"/>
          <w:b/>
          <w:bCs/>
          <w:iCs/>
        </w:rPr>
        <w:t>стр. 43</w:t>
      </w:r>
      <w:r>
        <w:rPr>
          <w:rFonts w:cs="Calibri"/>
          <w:iCs/>
        </w:rPr>
        <w:t xml:space="preserve"> «Из общего числа врачей – врачи, обслуживающие детское население» следует учесть, что кроме педиатров детское население могут обслуживать неонатологи, детские эндокринологи, кардиологи, хирурги, урологи-андрологи, онкологи и другие врачи, если это предусмотрено лицензией на медицинскую деятельность.</w:t>
      </w:r>
    </w:p>
    <w:p w:rsidR="00C22FBB" w:rsidRDefault="00B2271D">
      <w:pPr>
        <w:ind w:firstLine="709"/>
        <w:jc w:val="both"/>
      </w:pPr>
      <w:r>
        <w:t xml:space="preserve">В </w:t>
      </w:r>
      <w:r>
        <w:rPr>
          <w:b/>
          <w:bCs/>
        </w:rPr>
        <w:t>стр. 51</w:t>
      </w:r>
      <w:r>
        <w:t xml:space="preserve"> «зубные врачи» учитываются зубные врачи, к которым относятся младшие специалисты, прошедшие 3-х летний курс обучения по специальности «зубоврачебное дело» </w:t>
      </w:r>
      <w:r>
        <w:br/>
        <w:t xml:space="preserve">и имеющие право на проведение лишь ограниченного количества процедур, не осуществляющие сложные хирургические вмешательства. </w:t>
      </w:r>
      <w:r>
        <w:rPr>
          <w:u w:val="single"/>
        </w:rPr>
        <w:t xml:space="preserve">Не путать со стоматологом (стр. 38)! </w:t>
      </w:r>
      <w:r>
        <w:t>Главное отличие между специалистами – уровень образования, знаний, навыков и опыта. У стоматолога намного больше полномочий, чем у зубного врача.</w:t>
      </w:r>
    </w:p>
    <w:p w:rsidR="00C22FBB" w:rsidRDefault="00C22FBB">
      <w:pPr>
        <w:ind w:firstLine="709"/>
        <w:jc w:val="both"/>
      </w:pPr>
    </w:p>
    <w:p w:rsidR="00C22FBB" w:rsidRDefault="00B2271D">
      <w:pPr>
        <w:ind w:firstLine="709"/>
        <w:jc w:val="center"/>
        <w:rPr>
          <w:i/>
          <w:u w:val="single"/>
        </w:rPr>
      </w:pPr>
      <w:r>
        <w:rPr>
          <w:i/>
          <w:u w:val="single"/>
        </w:rPr>
        <w:t>Раздел 6. Хирургическая работа медицинской организации</w:t>
      </w:r>
    </w:p>
    <w:p w:rsidR="00C22FBB" w:rsidRDefault="00C22FBB">
      <w:pPr>
        <w:ind w:firstLine="709"/>
        <w:jc w:val="center"/>
        <w:rPr>
          <w:i/>
          <w:sz w:val="12"/>
          <w:szCs w:val="12"/>
          <w:u w:val="single"/>
        </w:rPr>
      </w:pPr>
    </w:p>
    <w:p w:rsidR="00C22FBB" w:rsidRDefault="00B2271D">
      <w:pPr>
        <w:ind w:firstLine="709"/>
        <w:jc w:val="both"/>
      </w:pPr>
      <w:r>
        <w:t>Виды операций определены номенклатурой медицинских услуг, утвержденной приказом Министерства здравоохранения от 13 октября 2017 г. № 804н.</w:t>
      </w:r>
    </w:p>
    <w:p w:rsidR="00C22FBB" w:rsidRDefault="00B2271D">
      <w:pPr>
        <w:ind w:firstLine="709"/>
        <w:jc w:val="both"/>
      </w:pPr>
      <w:r>
        <w:t xml:space="preserve">К операциям не относится удаление зубов, парацентез, мини-аборты. </w:t>
      </w:r>
    </w:p>
    <w:p w:rsidR="00C22FBB" w:rsidRDefault="00C22FBB">
      <w:pPr>
        <w:ind w:firstLine="709"/>
        <w:jc w:val="both"/>
      </w:pPr>
    </w:p>
    <w:p w:rsidR="00C22FBB" w:rsidRDefault="00B2271D">
      <w:pPr>
        <w:ind w:firstLine="709"/>
        <w:jc w:val="center"/>
        <w:rPr>
          <w:i/>
          <w:u w:val="single"/>
        </w:rPr>
      </w:pPr>
      <w:r>
        <w:rPr>
          <w:i/>
          <w:u w:val="single"/>
        </w:rPr>
        <w:t>Раздел 8. Сведения о числе зарегистрированных заболеваний</w:t>
      </w:r>
    </w:p>
    <w:p w:rsidR="00C22FBB" w:rsidRDefault="00C22FBB">
      <w:pPr>
        <w:ind w:firstLine="709"/>
        <w:jc w:val="center"/>
        <w:rPr>
          <w:i/>
          <w:sz w:val="12"/>
          <w:szCs w:val="12"/>
          <w:u w:val="single"/>
        </w:rPr>
      </w:pPr>
    </w:p>
    <w:p w:rsidR="00C22FBB" w:rsidRDefault="00B2271D">
      <w:pPr>
        <w:ind w:firstLine="709"/>
        <w:jc w:val="both"/>
      </w:pPr>
      <w:r>
        <w:rPr>
          <w:rFonts w:ascii="Arial" w:eastAsia="+mn-ea" w:hAnsi="Arial" w:cs="+mn-cs"/>
          <w:sz w:val="40"/>
          <w:szCs w:val="40"/>
        </w:rPr>
        <w:t xml:space="preserve"> </w:t>
      </w:r>
      <w:r>
        <w:t xml:space="preserve">Раздел 8 заполняют </w:t>
      </w:r>
      <w:r>
        <w:rPr>
          <w:b/>
        </w:rPr>
        <w:t>только</w:t>
      </w:r>
      <w:r>
        <w:t xml:space="preserve"> больничные организации, амбулаторно-поликлинические организации, а также немедицинские организации, имеющие подведомственное медицинское подразделение.</w:t>
      </w:r>
    </w:p>
    <w:p w:rsidR="00C22FBB" w:rsidRDefault="00B2271D">
      <w:pPr>
        <w:ind w:firstLine="709"/>
        <w:jc w:val="both"/>
      </w:pPr>
      <w:r>
        <w:t xml:space="preserve">Организация, имеющая в своем составе поликлиническое отделение, ведущее только консультативный прием, включает сведения о заболеваемости только в том случае, если </w:t>
      </w:r>
      <w:r>
        <w:br/>
        <w:t xml:space="preserve">в данной организации у пациента не только выявляется заболевание, но и осуществляется </w:t>
      </w:r>
      <w:r>
        <w:rPr>
          <w:b/>
        </w:rPr>
        <w:t>лечение и наблюдение за пациентом</w:t>
      </w:r>
      <w:r>
        <w:t>.</w:t>
      </w:r>
    </w:p>
    <w:p w:rsidR="00C22FBB" w:rsidRDefault="00C22FBB">
      <w:pPr>
        <w:ind w:firstLine="709"/>
        <w:jc w:val="center"/>
        <w:rPr>
          <w:b/>
          <w:bCs/>
          <w:i/>
          <w:sz w:val="28"/>
          <w:szCs w:val="28"/>
          <w:u w:val="single"/>
        </w:rPr>
      </w:pPr>
    </w:p>
    <w:p w:rsidR="00C22FBB" w:rsidRDefault="00C22FBB">
      <w:pPr>
        <w:ind w:firstLine="709"/>
        <w:jc w:val="center"/>
        <w:rPr>
          <w:b/>
          <w:bCs/>
          <w:i/>
          <w:sz w:val="28"/>
          <w:szCs w:val="28"/>
          <w:u w:val="single"/>
        </w:rPr>
      </w:pPr>
    </w:p>
    <w:p w:rsidR="00C22FBB" w:rsidRDefault="00B2271D">
      <w:pPr>
        <w:ind w:firstLine="709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«Пустой отчет» заполняют:</w:t>
      </w:r>
    </w:p>
    <w:p w:rsidR="00C22FBB" w:rsidRDefault="00B2271D">
      <w:pPr>
        <w:numPr>
          <w:ilvl w:val="0"/>
          <w:numId w:val="1"/>
        </w:numPr>
        <w:ind w:left="0"/>
        <w:jc w:val="both"/>
      </w:pPr>
      <w:r>
        <w:lastRenderedPageBreak/>
        <w:t xml:space="preserve">респонденты, имеющие лицензию на осуществление медицинской деятельности, с типом организации в Разделе 1 </w:t>
      </w:r>
      <w:r>
        <w:rPr>
          <w:b/>
        </w:rPr>
        <w:t>по стр. 10</w:t>
      </w:r>
      <w:r>
        <w:t xml:space="preserve">, но на конец отчетного года не имеющих в штате медицинских работников на постоянной основе; </w:t>
      </w:r>
    </w:p>
    <w:p w:rsidR="00C22FBB" w:rsidRDefault="00B2271D">
      <w:pPr>
        <w:numPr>
          <w:ilvl w:val="0"/>
          <w:numId w:val="1"/>
        </w:numPr>
        <w:ind w:left="0"/>
      </w:pPr>
      <w:r>
        <w:t>респонденты, не ведущие деятельность с 1 января отчетного года.</w:t>
      </w:r>
    </w:p>
    <w:p w:rsidR="00C22FBB" w:rsidRDefault="00B2271D">
      <w:pPr>
        <w:ind w:left="34" w:firstLine="709"/>
        <w:jc w:val="both"/>
      </w:pPr>
      <w:r>
        <w:t xml:space="preserve">На титульном листе формы № 1-здрав указывается код ОКПО и наименование организации. В остальных разделах </w:t>
      </w:r>
      <w:r>
        <w:rPr>
          <w:b/>
        </w:rPr>
        <w:t>не должны указываться никакие значения данных</w:t>
      </w:r>
      <w:r>
        <w:t xml:space="preserve">, </w:t>
      </w:r>
      <w:r>
        <w:br/>
        <w:t xml:space="preserve">в том числе нулевые и прочерки. </w:t>
      </w:r>
    </w:p>
    <w:p w:rsidR="00C22FBB" w:rsidRDefault="00C22FBB">
      <w:pPr>
        <w:ind w:left="-360"/>
      </w:pPr>
    </w:p>
    <w:p w:rsidR="00C22FBB" w:rsidRDefault="00C22FBB"/>
    <w:p w:rsidR="00C22FBB" w:rsidRDefault="00C22FBB">
      <w:pPr>
        <w:ind w:firstLine="709"/>
        <w:contextualSpacing/>
        <w:jc w:val="center"/>
      </w:pPr>
    </w:p>
    <w:sectPr w:rsidR="00C22FBB" w:rsidSect="00C22FBB">
      <w:pgSz w:w="11906" w:h="16838"/>
      <w:pgMar w:top="851" w:right="567" w:bottom="567" w:left="1418" w:header="709" w:footer="6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1D" w:rsidRDefault="00B2271D">
      <w:r>
        <w:separator/>
      </w:r>
    </w:p>
  </w:endnote>
  <w:endnote w:type="continuationSeparator" w:id="0">
    <w:p w:rsidR="00B2271D" w:rsidRDefault="00B22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charset w:val="00"/>
    <w:family w:val="auto"/>
    <w:pitch w:val="default"/>
    <w:sig w:usb0="00000000" w:usb1="00000000" w:usb2="00000000" w:usb3="00000000" w:csb0="00000000" w:csb1="00000000"/>
  </w:font>
  <w:font w:name="+mn-c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1D" w:rsidRDefault="00B2271D">
      <w:r>
        <w:separator/>
      </w:r>
    </w:p>
  </w:footnote>
  <w:footnote w:type="continuationSeparator" w:id="0">
    <w:p w:rsidR="00B2271D" w:rsidRDefault="00B22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45AF"/>
    <w:multiLevelType w:val="hybridMultilevel"/>
    <w:tmpl w:val="259C53FC"/>
    <w:lvl w:ilvl="0" w:tplc="6EF4145A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C763D64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9BE06564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7FC45BC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C720995C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D958803C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1B4B2EC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B5948E36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A020D6E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5B9E73D5"/>
    <w:multiLevelType w:val="hybridMultilevel"/>
    <w:tmpl w:val="0E6EFC4E"/>
    <w:lvl w:ilvl="0" w:tplc="CBB8F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CCCE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4CA48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DE269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0637E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2AD37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308E8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3AE91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562625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FBB"/>
    <w:rsid w:val="002E4D89"/>
    <w:rsid w:val="009305D2"/>
    <w:rsid w:val="00B2271D"/>
    <w:rsid w:val="00B6393C"/>
    <w:rsid w:val="00C2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22FB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22FB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22FB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22FB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22FB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22FB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22FB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22FB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C22FB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22FB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22FB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22FB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22FB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22FB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22FB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22FB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22FB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22FBB"/>
  </w:style>
  <w:style w:type="paragraph" w:styleId="a4">
    <w:name w:val="Title"/>
    <w:basedOn w:val="a"/>
    <w:next w:val="a"/>
    <w:link w:val="a5"/>
    <w:uiPriority w:val="10"/>
    <w:qFormat/>
    <w:rsid w:val="00C22FB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22FB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22FB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C22FB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22FB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22FB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22FB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22FBB"/>
    <w:rPr>
      <w:i/>
    </w:rPr>
  </w:style>
  <w:style w:type="character" w:customStyle="1" w:styleId="HeaderChar">
    <w:name w:val="Header Char"/>
    <w:basedOn w:val="a0"/>
    <w:link w:val="Header"/>
    <w:uiPriority w:val="99"/>
    <w:rsid w:val="00C22FBB"/>
  </w:style>
  <w:style w:type="character" w:customStyle="1" w:styleId="FooterChar">
    <w:name w:val="Footer Char"/>
    <w:basedOn w:val="a0"/>
    <w:link w:val="Footer"/>
    <w:uiPriority w:val="99"/>
    <w:rsid w:val="00C22FBB"/>
  </w:style>
  <w:style w:type="character" w:customStyle="1" w:styleId="CaptionChar">
    <w:name w:val="Caption Char"/>
    <w:link w:val="Footer"/>
    <w:uiPriority w:val="99"/>
    <w:rsid w:val="00C22FBB"/>
  </w:style>
  <w:style w:type="table" w:customStyle="1" w:styleId="TableGridLight">
    <w:name w:val="Table Grid Light"/>
    <w:basedOn w:val="a1"/>
    <w:uiPriority w:val="59"/>
    <w:rsid w:val="00C22FB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22FB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22FB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22F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22F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22F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22FB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22FB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22FB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22FB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22FB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22FB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22FB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22FB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22F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22F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22F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22F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22F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22F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22F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22FB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22FB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22FB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22FB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22FB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22FB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22FB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22FB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22FB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22FB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22FB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22FB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22FB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22FB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22FB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22FB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22FB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22FB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22FB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22FB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22FB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22FB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22FBB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C22FBB"/>
    <w:rPr>
      <w:sz w:val="18"/>
    </w:rPr>
  </w:style>
  <w:style w:type="character" w:styleId="ac">
    <w:name w:val="footnote reference"/>
    <w:basedOn w:val="a0"/>
    <w:uiPriority w:val="99"/>
    <w:unhideWhenUsed/>
    <w:rsid w:val="00C22FB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22FBB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C22FBB"/>
    <w:rPr>
      <w:sz w:val="20"/>
    </w:rPr>
  </w:style>
  <w:style w:type="character" w:styleId="af">
    <w:name w:val="endnote reference"/>
    <w:basedOn w:val="a0"/>
    <w:uiPriority w:val="99"/>
    <w:semiHidden/>
    <w:unhideWhenUsed/>
    <w:rsid w:val="00C22FB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22FBB"/>
    <w:pPr>
      <w:spacing w:after="57"/>
    </w:pPr>
  </w:style>
  <w:style w:type="paragraph" w:styleId="21">
    <w:name w:val="toc 2"/>
    <w:basedOn w:val="a"/>
    <w:next w:val="a"/>
    <w:uiPriority w:val="39"/>
    <w:unhideWhenUsed/>
    <w:rsid w:val="00C22FB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22FB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22FB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22FB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22FB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22FB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22FB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22FBB"/>
    <w:pPr>
      <w:spacing w:after="57"/>
      <w:ind w:left="2268"/>
    </w:pPr>
  </w:style>
  <w:style w:type="paragraph" w:styleId="af0">
    <w:name w:val="TOC Heading"/>
    <w:uiPriority w:val="39"/>
    <w:unhideWhenUsed/>
    <w:rsid w:val="00C22FBB"/>
  </w:style>
  <w:style w:type="paragraph" w:styleId="af1">
    <w:name w:val="table of figures"/>
    <w:basedOn w:val="a"/>
    <w:next w:val="a"/>
    <w:uiPriority w:val="99"/>
    <w:unhideWhenUsed/>
    <w:rsid w:val="00C22FBB"/>
  </w:style>
  <w:style w:type="paragraph" w:customStyle="1" w:styleId="Heading1">
    <w:name w:val="Heading 1"/>
    <w:basedOn w:val="a"/>
    <w:link w:val="10"/>
    <w:uiPriority w:val="9"/>
    <w:qFormat/>
    <w:rsid w:val="00C22FBB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customStyle="1" w:styleId="Header">
    <w:name w:val="Header"/>
    <w:basedOn w:val="a"/>
    <w:link w:val="af2"/>
    <w:rsid w:val="00C22F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Header"/>
    <w:rsid w:val="00C22FBB"/>
    <w:rPr>
      <w:sz w:val="24"/>
      <w:szCs w:val="24"/>
    </w:rPr>
  </w:style>
  <w:style w:type="paragraph" w:customStyle="1" w:styleId="Footer">
    <w:name w:val="Footer"/>
    <w:basedOn w:val="a"/>
    <w:link w:val="af3"/>
    <w:rsid w:val="00C22FB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Footer"/>
    <w:rsid w:val="00C22FBB"/>
    <w:rPr>
      <w:sz w:val="24"/>
      <w:szCs w:val="24"/>
    </w:rPr>
  </w:style>
  <w:style w:type="character" w:styleId="af4">
    <w:name w:val="Hyperlink"/>
    <w:rsid w:val="00C22FBB"/>
    <w:rPr>
      <w:color w:val="0000FF"/>
      <w:u w:val="single"/>
    </w:rPr>
  </w:style>
  <w:style w:type="paragraph" w:customStyle="1" w:styleId="Caption">
    <w:name w:val="Caption"/>
    <w:basedOn w:val="a"/>
    <w:next w:val="a"/>
    <w:qFormat/>
    <w:rsid w:val="00C22FBB"/>
    <w:pPr>
      <w:framePr w:w="4723" w:h="4183" w:hSpace="180" w:wrap="around" w:vAnchor="text" w:hAnchor="page" w:x="1045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</w:pPr>
    <w:rPr>
      <w:b/>
      <w:color w:val="000000"/>
      <w:sz w:val="28"/>
      <w:szCs w:val="20"/>
    </w:rPr>
  </w:style>
  <w:style w:type="paragraph" w:styleId="af5">
    <w:name w:val="Balloon Text"/>
    <w:basedOn w:val="a"/>
    <w:link w:val="af6"/>
    <w:rsid w:val="00C22FB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C22FBB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rsid w:val="00C22FBB"/>
    <w:pPr>
      <w:jc w:val="both"/>
    </w:pPr>
    <w:rPr>
      <w:b/>
      <w:bCs/>
      <w:sz w:val="28"/>
    </w:rPr>
  </w:style>
  <w:style w:type="character" w:customStyle="1" w:styleId="af8">
    <w:name w:val="Основной текст Знак"/>
    <w:link w:val="af7"/>
    <w:rsid w:val="00C22FBB"/>
    <w:rPr>
      <w:b/>
      <w:bCs/>
      <w:sz w:val="28"/>
      <w:szCs w:val="24"/>
    </w:rPr>
  </w:style>
  <w:style w:type="table" w:styleId="af9">
    <w:name w:val="Table Grid"/>
    <w:basedOn w:val="a1"/>
    <w:uiPriority w:val="59"/>
    <w:rsid w:val="00C22F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C22FBB"/>
    <w:pPr>
      <w:widowControl w:val="0"/>
      <w:spacing w:line="280" w:lineRule="auto"/>
      <w:jc w:val="center"/>
    </w:pPr>
    <w:rPr>
      <w:b/>
    </w:rPr>
  </w:style>
  <w:style w:type="character" w:styleId="afa">
    <w:name w:val="Placeholder Text"/>
    <w:uiPriority w:val="99"/>
    <w:semiHidden/>
    <w:rsid w:val="00C22FBB"/>
    <w:rPr>
      <w:color w:val="808080"/>
    </w:rPr>
  </w:style>
  <w:style w:type="character" w:customStyle="1" w:styleId="10">
    <w:name w:val="Заголовок 1 Знак"/>
    <w:link w:val="Heading1"/>
    <w:uiPriority w:val="9"/>
    <w:rsid w:val="00C22FBB"/>
    <w:rPr>
      <w:b/>
      <w:bCs/>
      <w:sz w:val="48"/>
      <w:szCs w:val="48"/>
    </w:rPr>
  </w:style>
  <w:style w:type="paragraph" w:styleId="30">
    <w:name w:val="Body Text 3"/>
    <w:basedOn w:val="a"/>
    <w:link w:val="31"/>
    <w:rsid w:val="00C22FB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22FBB"/>
    <w:rPr>
      <w:sz w:val="16"/>
      <w:szCs w:val="16"/>
    </w:rPr>
  </w:style>
  <w:style w:type="character" w:styleId="afb">
    <w:name w:val="FollowedHyperlink"/>
    <w:rsid w:val="00C22FBB"/>
    <w:rPr>
      <w:color w:val="954F72"/>
      <w:u w:val="single"/>
    </w:rPr>
  </w:style>
  <w:style w:type="paragraph" w:styleId="afc">
    <w:name w:val="List Paragraph"/>
    <w:basedOn w:val="a"/>
    <w:uiPriority w:val="34"/>
    <w:qFormat/>
    <w:rsid w:val="00C22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9EACD2AA056F047B639CC352B8BF511DDB9FD54D52DCCCF82A340CF573AB75D043252EAF5E1C558E5AB951A0614E1B205D7B5AFCF545AK8B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F35BEE3-0B43-406E-9CF2-4AA2CD406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5498</Characters>
  <Application>Microsoft Office Word</Application>
  <DocSecurity>4</DocSecurity>
  <Lines>45</Lines>
  <Paragraphs>12</Paragraphs>
  <ScaleCrop>false</ScaleCrop>
  <Company>Krasnoyarskstat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P24_vasilyevalp</dc:creator>
  <cp:lastModifiedBy>P24_vasilyevalp</cp:lastModifiedBy>
  <cp:revision>2</cp:revision>
  <dcterms:created xsi:type="dcterms:W3CDTF">2023-03-06T11:01:00Z</dcterms:created>
  <dcterms:modified xsi:type="dcterms:W3CDTF">2023-03-06T11:01:00Z</dcterms:modified>
</cp:coreProperties>
</file>